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50" w:rsidRDefault="00824F50" w:rsidP="00824F50">
      <w:pPr>
        <w:jc w:val="center"/>
        <w:rPr>
          <w:rFonts w:ascii="Times New Roman" w:hAnsi="Times New Roman" w:cs="Times New Roman"/>
          <w:b/>
          <w:sz w:val="24"/>
          <w:szCs w:val="24"/>
        </w:rPr>
      </w:pPr>
      <w:r>
        <w:rPr>
          <w:rFonts w:ascii="Times New Roman" w:hAnsi="Times New Roman" w:cs="Times New Roman"/>
          <w:b/>
          <w:i/>
          <w:sz w:val="24"/>
          <w:szCs w:val="24"/>
        </w:rPr>
        <w:t>Експертний висновок</w:t>
      </w:r>
    </w:p>
    <w:p w:rsidR="00B65DAA" w:rsidRDefault="00824F50" w:rsidP="00B65DAA">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відповідальної комісії –  постійної   комісії Бобровицької міської ради з питань   фінансів, бюджету та </w:t>
      </w:r>
      <w:r w:rsidR="003F6B44">
        <w:rPr>
          <w:rFonts w:ascii="Times New Roman" w:hAnsi="Times New Roman" w:cs="Times New Roman"/>
          <w:b/>
          <w:sz w:val="24"/>
          <w:szCs w:val="24"/>
        </w:rPr>
        <w:t xml:space="preserve">соціально-економічного розвитку щодо регуляторного впливу </w:t>
      </w:r>
      <w:proofErr w:type="spellStart"/>
      <w:r w:rsidR="003F6B44">
        <w:rPr>
          <w:rFonts w:ascii="Times New Roman" w:hAnsi="Times New Roman" w:cs="Times New Roman"/>
          <w:b/>
          <w:sz w:val="24"/>
          <w:szCs w:val="24"/>
        </w:rPr>
        <w:t>проє</w:t>
      </w:r>
      <w:r w:rsidR="00B65DAA">
        <w:rPr>
          <w:rFonts w:ascii="Times New Roman" w:hAnsi="Times New Roman" w:cs="Times New Roman"/>
          <w:b/>
          <w:sz w:val="24"/>
          <w:szCs w:val="24"/>
        </w:rPr>
        <w:t>кту</w:t>
      </w:r>
      <w:proofErr w:type="spellEnd"/>
      <w:r w:rsidR="00B65DAA">
        <w:rPr>
          <w:rFonts w:ascii="Times New Roman" w:hAnsi="Times New Roman" w:cs="Times New Roman"/>
          <w:b/>
          <w:sz w:val="24"/>
          <w:szCs w:val="24"/>
        </w:rPr>
        <w:t xml:space="preserve"> </w:t>
      </w:r>
      <w:r>
        <w:rPr>
          <w:rFonts w:ascii="Times New Roman" w:hAnsi="Times New Roman" w:cs="Times New Roman"/>
          <w:b/>
          <w:sz w:val="24"/>
          <w:szCs w:val="24"/>
        </w:rPr>
        <w:t xml:space="preserve"> рішення міської ради  </w:t>
      </w:r>
      <w:r w:rsidR="00B65DAA" w:rsidRPr="00B65DAA">
        <w:rPr>
          <w:rFonts w:ascii="Times New Roman" w:eastAsia="Times New Roman" w:hAnsi="Times New Roman" w:cs="Times New Roman"/>
          <w:b/>
          <w:bCs/>
          <w:sz w:val="24"/>
          <w:szCs w:val="24"/>
        </w:rPr>
        <w:t>«</w:t>
      </w:r>
      <w:r w:rsidR="00B65DAA">
        <w:rPr>
          <w:rFonts w:ascii="Times New Roman" w:eastAsia="Times New Roman" w:hAnsi="Times New Roman" w:cs="Times New Roman"/>
          <w:b/>
          <w:sz w:val="24"/>
          <w:szCs w:val="24"/>
          <w:lang w:eastAsia="ru-RU"/>
        </w:rPr>
        <w:t>Про затвердження Регламенту</w:t>
      </w:r>
    </w:p>
    <w:p w:rsidR="00B65DAA" w:rsidRDefault="00B65DAA" w:rsidP="00B65DAA">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роботи відділу «Центр надання адміністративних послуг»</w:t>
      </w:r>
    </w:p>
    <w:p w:rsidR="00B65DAA" w:rsidRDefault="00B65DAA" w:rsidP="00B65DAA">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bCs/>
          <w:color w:val="FF0000"/>
          <w:sz w:val="28"/>
          <w:szCs w:val="28"/>
          <w:lang w:val="ru-RU"/>
        </w:rPr>
      </w:pPr>
      <w:r>
        <w:rPr>
          <w:rFonts w:ascii="Times New Roman" w:eastAsia="Times New Roman" w:hAnsi="Times New Roman" w:cs="Times New Roman"/>
          <w:b/>
          <w:sz w:val="24"/>
          <w:szCs w:val="24"/>
          <w:lang w:eastAsia="ru-RU"/>
        </w:rPr>
        <w:t>виконавчого комітету Бобровицької міської ради» ( в новій редакції)</w:t>
      </w:r>
    </w:p>
    <w:p w:rsidR="00824F50" w:rsidRPr="00B65DAA" w:rsidRDefault="00824F50" w:rsidP="00824F50">
      <w:pPr>
        <w:tabs>
          <w:tab w:val="left" w:pos="5954"/>
          <w:tab w:val="left" w:pos="9639"/>
        </w:tabs>
        <w:spacing w:after="0" w:line="100" w:lineRule="atLeast"/>
        <w:ind w:left="-142"/>
        <w:jc w:val="center"/>
        <w:rPr>
          <w:rFonts w:ascii="Times New Roman" w:hAnsi="Times New Roman" w:cs="Times New Roman"/>
          <w:b/>
          <w:i/>
          <w:sz w:val="24"/>
          <w:szCs w:val="24"/>
          <w:lang w:val="ru-RU"/>
        </w:rPr>
      </w:pPr>
    </w:p>
    <w:p w:rsidR="00824F50" w:rsidRDefault="00824F50" w:rsidP="00824F50">
      <w:pPr>
        <w:tabs>
          <w:tab w:val="left" w:pos="9639"/>
        </w:tabs>
        <w:jc w:val="center"/>
        <w:rPr>
          <w:rFonts w:ascii="Times New Roman" w:hAnsi="Times New Roman" w:cs="Times New Roman"/>
          <w:b/>
          <w:i/>
          <w:sz w:val="24"/>
          <w:szCs w:val="24"/>
        </w:rPr>
      </w:pPr>
    </w:p>
    <w:p w:rsidR="00B65DAA" w:rsidRPr="00B65DAA" w:rsidRDefault="00824F50" w:rsidP="00B65DAA">
      <w:pPr>
        <w:shd w:val="clear" w:color="auto" w:fill="FFFFFF"/>
        <w:tabs>
          <w:tab w:val="left" w:pos="6470"/>
        </w:tabs>
        <w:suppressAutoHyphens w:val="0"/>
        <w:spacing w:after="0" w:line="240" w:lineRule="auto"/>
        <w:ind w:right="74"/>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Відповідальна комісія </w:t>
      </w:r>
      <w:r>
        <w:rPr>
          <w:rFonts w:ascii="Times New Roman" w:hAnsi="Times New Roman" w:cs="Times New Roman"/>
          <w:b/>
          <w:i/>
          <w:sz w:val="24"/>
          <w:szCs w:val="24"/>
        </w:rPr>
        <w:t xml:space="preserve">– </w:t>
      </w:r>
      <w:r>
        <w:rPr>
          <w:rFonts w:ascii="Times New Roman" w:hAnsi="Times New Roman" w:cs="Times New Roman"/>
          <w:sz w:val="24"/>
          <w:szCs w:val="24"/>
        </w:rPr>
        <w:t xml:space="preserve">постійна комісія Бобровицької міської ради з питань  фінансів, бюджету та соціально-економічного розвитку (надалі </w:t>
      </w:r>
      <w:r>
        <w:rPr>
          <w:rFonts w:ascii="Times New Roman" w:hAnsi="Times New Roman" w:cs="Times New Roman"/>
          <w:b/>
          <w:i/>
          <w:sz w:val="24"/>
          <w:szCs w:val="24"/>
        </w:rPr>
        <w:t xml:space="preserve">– </w:t>
      </w:r>
      <w:r>
        <w:rPr>
          <w:rFonts w:ascii="Times New Roman" w:hAnsi="Times New Roman" w:cs="Times New Roman"/>
          <w:sz w:val="24"/>
          <w:szCs w:val="24"/>
        </w:rPr>
        <w:t>постійна комісія),  керуючись  статтями 4,8,34 Закону України «Про засади державної регуляторної політики у сфері господарсь</w:t>
      </w:r>
      <w:r w:rsidR="00B65DAA">
        <w:rPr>
          <w:rFonts w:ascii="Times New Roman" w:hAnsi="Times New Roman" w:cs="Times New Roman"/>
          <w:sz w:val="24"/>
          <w:szCs w:val="24"/>
        </w:rPr>
        <w:t xml:space="preserve">кої діяльності», розглянула </w:t>
      </w:r>
      <w:proofErr w:type="spellStart"/>
      <w:r w:rsidR="00B65DAA">
        <w:rPr>
          <w:rFonts w:ascii="Times New Roman" w:hAnsi="Times New Roman" w:cs="Times New Roman"/>
          <w:sz w:val="24"/>
          <w:szCs w:val="24"/>
        </w:rPr>
        <w:t>проє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рішення Бобровицької  міської ради</w:t>
      </w:r>
      <w:r w:rsidR="00B65DAA">
        <w:rPr>
          <w:rFonts w:ascii="Times New Roman" w:hAnsi="Times New Roman" w:cs="Times New Roman"/>
          <w:sz w:val="24"/>
          <w:szCs w:val="24"/>
        </w:rPr>
        <w:t xml:space="preserve"> </w:t>
      </w:r>
      <w:r w:rsidR="00B65DAA" w:rsidRPr="00B65DAA">
        <w:rPr>
          <w:rFonts w:ascii="Times New Roman" w:eastAsia="Times New Roman" w:hAnsi="Times New Roman" w:cs="Times New Roman"/>
          <w:sz w:val="24"/>
          <w:szCs w:val="24"/>
          <w:lang w:eastAsia="ru-RU"/>
        </w:rPr>
        <w:t xml:space="preserve">Про </w:t>
      </w:r>
    </w:p>
    <w:p w:rsidR="00B65DAA" w:rsidRPr="00B65DAA" w:rsidRDefault="00B65DAA" w:rsidP="00B65DAA">
      <w:pPr>
        <w:shd w:val="clear" w:color="auto" w:fill="FFFFFF"/>
        <w:tabs>
          <w:tab w:val="left" w:pos="6470"/>
        </w:tabs>
        <w:suppressAutoHyphens w:val="0"/>
        <w:spacing w:after="0" w:line="240" w:lineRule="auto"/>
        <w:ind w:right="74"/>
        <w:jc w:val="center"/>
        <w:rPr>
          <w:rFonts w:ascii="Times New Roman" w:eastAsia="Times New Roman" w:hAnsi="Times New Roman" w:cs="Times New Roman"/>
          <w:sz w:val="24"/>
          <w:szCs w:val="24"/>
          <w:lang w:eastAsia="ru-RU"/>
        </w:rPr>
      </w:pPr>
      <w:r w:rsidRPr="00B65DAA">
        <w:rPr>
          <w:rFonts w:ascii="Times New Roman" w:eastAsia="Times New Roman" w:hAnsi="Times New Roman" w:cs="Times New Roman"/>
          <w:sz w:val="24"/>
          <w:szCs w:val="24"/>
          <w:lang w:eastAsia="ru-RU"/>
        </w:rPr>
        <w:t>затвердження Регламенту роботи відділу «Центр надання адміністративних послуг»</w:t>
      </w:r>
    </w:p>
    <w:p w:rsidR="00824F50" w:rsidRDefault="00B65DAA" w:rsidP="00B65DAA">
      <w:pPr>
        <w:shd w:val="clear" w:color="auto" w:fill="FFFFFF"/>
        <w:tabs>
          <w:tab w:val="left" w:pos="6470"/>
        </w:tabs>
        <w:suppressAutoHyphens w:val="0"/>
        <w:spacing w:after="0" w:line="240" w:lineRule="auto"/>
        <w:ind w:right="74"/>
        <w:jc w:val="center"/>
        <w:rPr>
          <w:rFonts w:ascii="Times New Roman" w:hAnsi="Times New Roman" w:cs="Times New Roman"/>
          <w:sz w:val="24"/>
          <w:szCs w:val="24"/>
        </w:rPr>
      </w:pPr>
      <w:r w:rsidRPr="00B65DAA">
        <w:rPr>
          <w:rFonts w:ascii="Times New Roman" w:eastAsia="Times New Roman" w:hAnsi="Times New Roman" w:cs="Times New Roman"/>
          <w:sz w:val="24"/>
          <w:szCs w:val="24"/>
          <w:lang w:eastAsia="ru-RU"/>
        </w:rPr>
        <w:t>виконавчого комітету Бобровицької міської ради»</w:t>
      </w:r>
      <w:r>
        <w:rPr>
          <w:rFonts w:ascii="Times New Roman" w:eastAsia="Times New Roman" w:hAnsi="Times New Roman" w:cs="Times New Roman"/>
          <w:sz w:val="24"/>
          <w:szCs w:val="24"/>
          <w:lang w:eastAsia="ru-RU"/>
        </w:rPr>
        <w:t xml:space="preserve"> </w:t>
      </w:r>
      <w:r w:rsidR="00824F50">
        <w:rPr>
          <w:rFonts w:ascii="Times New Roman" w:hAnsi="Times New Roman" w:cs="Times New Roman"/>
          <w:sz w:val="24"/>
          <w:szCs w:val="24"/>
        </w:rPr>
        <w:t>та встановила наступне.</w:t>
      </w:r>
    </w:p>
    <w:p w:rsidR="00824F50" w:rsidRDefault="00824F50" w:rsidP="00824F50">
      <w:pPr>
        <w:ind w:firstLine="709"/>
        <w:jc w:val="both"/>
        <w:rPr>
          <w:rFonts w:ascii="Times New Roman" w:hAnsi="Times New Roman" w:cs="Times New Roman"/>
          <w:b/>
          <w:sz w:val="24"/>
          <w:szCs w:val="24"/>
        </w:rPr>
      </w:pPr>
      <w:r>
        <w:rPr>
          <w:rFonts w:ascii="Times New Roman" w:hAnsi="Times New Roman" w:cs="Times New Roman"/>
          <w:sz w:val="24"/>
          <w:szCs w:val="24"/>
        </w:rPr>
        <w:t>Розробником регуляторного акта</w:t>
      </w:r>
      <w:r w:rsidR="00B65DAA">
        <w:rPr>
          <w:rFonts w:ascii="Times New Roman" w:hAnsi="Times New Roman" w:cs="Times New Roman"/>
          <w:sz w:val="24"/>
          <w:szCs w:val="24"/>
        </w:rPr>
        <w:t xml:space="preserve"> є Бобровицька міська рада. </w:t>
      </w:r>
      <w:proofErr w:type="spellStart"/>
      <w:r w:rsidR="00B65DAA">
        <w:rPr>
          <w:rFonts w:ascii="Times New Roman" w:hAnsi="Times New Roman" w:cs="Times New Roman"/>
          <w:sz w:val="24"/>
          <w:szCs w:val="24"/>
        </w:rPr>
        <w:t>Проє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рішення підготовлено на підставі Закону України «Про місцеве самоврядування в Україні», Законів України: «Про адміністративні послуги», «Про дозвільну систему у сфері господарської діяльності»; відповідно до Постанови Кабінету Міністрів України від 01 серпня 2013 року №558 «Про затвердження Примірного регламенту центру надання адміністративних послуг»</w:t>
      </w:r>
      <w:r w:rsidR="00B65DAA">
        <w:rPr>
          <w:rFonts w:ascii="Times New Roman" w:hAnsi="Times New Roman" w:cs="Times New Roman"/>
          <w:sz w:val="24"/>
          <w:szCs w:val="24"/>
        </w:rPr>
        <w:t>( зі змінами).</w:t>
      </w:r>
      <w:r>
        <w:rPr>
          <w:rFonts w:ascii="Times New Roman" w:hAnsi="Times New Roman" w:cs="Times New Roman"/>
          <w:sz w:val="24"/>
          <w:szCs w:val="24"/>
        </w:rPr>
        <w:t>.</w:t>
      </w:r>
    </w:p>
    <w:p w:rsidR="00824F50" w:rsidRDefault="00B65DAA" w:rsidP="00824F50">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1.Відповідність </w:t>
      </w:r>
      <w:proofErr w:type="spellStart"/>
      <w:r>
        <w:rPr>
          <w:rFonts w:ascii="Times New Roman" w:hAnsi="Times New Roman" w:cs="Times New Roman"/>
          <w:b/>
          <w:sz w:val="24"/>
          <w:szCs w:val="24"/>
        </w:rPr>
        <w:t>проє</w:t>
      </w:r>
      <w:r w:rsidR="00824F50">
        <w:rPr>
          <w:rFonts w:ascii="Times New Roman" w:hAnsi="Times New Roman" w:cs="Times New Roman"/>
          <w:b/>
          <w:sz w:val="24"/>
          <w:szCs w:val="24"/>
        </w:rPr>
        <w:t>кту</w:t>
      </w:r>
      <w:proofErr w:type="spellEnd"/>
      <w:r w:rsidR="00824F50">
        <w:rPr>
          <w:rFonts w:ascii="Times New Roman" w:hAnsi="Times New Roman" w:cs="Times New Roman"/>
          <w:b/>
          <w:sz w:val="24"/>
          <w:szCs w:val="24"/>
        </w:rPr>
        <w:t xml:space="preserve">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824F50" w:rsidRDefault="00824F50" w:rsidP="00824F50">
      <w:pPr>
        <w:ind w:firstLine="709"/>
        <w:jc w:val="both"/>
        <w:rPr>
          <w:rFonts w:ascii="Times New Roman" w:hAnsi="Times New Roman" w:cs="Times New Roman"/>
          <w:b/>
          <w:sz w:val="24"/>
          <w:szCs w:val="24"/>
        </w:rPr>
      </w:pPr>
    </w:p>
    <w:p w:rsidR="00824F50" w:rsidRDefault="00B65DAA" w:rsidP="00824F5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Проаналізувавши </w:t>
      </w: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w:t>
      </w:r>
      <w:proofErr w:type="spellEnd"/>
      <w:r w:rsidR="00824F50">
        <w:rPr>
          <w:rFonts w:ascii="Times New Roman" w:hAnsi="Times New Roman" w:cs="Times New Roman"/>
          <w:sz w:val="24"/>
          <w:szCs w:val="24"/>
        </w:rPr>
        <w:t xml:space="preserve"> регуляторного акта, постійна комісія визначає наступне.</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Ситуація яка вплинула  на необхідність його розробки, свідчить про необхідність регулювання господарських відносин з метою вирішення існуючої проблеми необхідності забезпечення максимальної прозорості та відкритості в наданні послуг, визначенні чіткого переліку адміністративних послуг, що надаються через Центр надання адміністративних послуг   (надалі – ЦНАП), раціональної мінімізації кількості документів та процедурних дій. </w:t>
      </w:r>
    </w:p>
    <w:p w:rsidR="00824F50" w:rsidRDefault="00824F50" w:rsidP="00824F50">
      <w:pPr>
        <w:ind w:firstLine="709"/>
        <w:jc w:val="both"/>
        <w:rPr>
          <w:rFonts w:ascii="Times New Roman" w:hAnsi="Times New Roman" w:cs="Times New Roman"/>
          <w:sz w:val="24"/>
          <w:szCs w:val="24"/>
        </w:rPr>
      </w:pPr>
      <w:r>
        <w:rPr>
          <w:rFonts w:ascii="Times New Roman" w:hAnsi="Times New Roman" w:cs="Times New Roman"/>
          <w:sz w:val="24"/>
          <w:szCs w:val="24"/>
        </w:rPr>
        <w:t>Механізм вирішення</w:t>
      </w:r>
      <w:r w:rsidR="00B65DAA">
        <w:rPr>
          <w:rFonts w:ascii="Times New Roman" w:hAnsi="Times New Roman" w:cs="Times New Roman"/>
          <w:sz w:val="24"/>
          <w:szCs w:val="24"/>
        </w:rPr>
        <w:t xml:space="preserve"> проблеми, запропонований у </w:t>
      </w:r>
      <w:proofErr w:type="spellStart"/>
      <w:r w:rsidR="00B65DAA">
        <w:rPr>
          <w:rFonts w:ascii="Times New Roman" w:hAnsi="Times New Roman" w:cs="Times New Roman"/>
          <w:sz w:val="24"/>
          <w:szCs w:val="24"/>
        </w:rPr>
        <w:t>проє</w:t>
      </w:r>
      <w:r>
        <w:rPr>
          <w:rFonts w:ascii="Times New Roman" w:hAnsi="Times New Roman" w:cs="Times New Roman"/>
          <w:sz w:val="24"/>
          <w:szCs w:val="24"/>
        </w:rPr>
        <w:t>кті</w:t>
      </w:r>
      <w:proofErr w:type="spellEnd"/>
      <w:r>
        <w:rPr>
          <w:rFonts w:ascii="Times New Roman" w:hAnsi="Times New Roman" w:cs="Times New Roman"/>
          <w:sz w:val="24"/>
          <w:szCs w:val="24"/>
        </w:rPr>
        <w:t xml:space="preserve"> відповідає потребам та ринковим вимогам з урахуванням усіх прийнятних альтернатив.</w:t>
      </w:r>
    </w:p>
    <w:p w:rsidR="00824F50" w:rsidRDefault="00B65DAA" w:rsidP="00824F50">
      <w:pPr>
        <w:ind w:firstLine="709"/>
        <w:jc w:val="both"/>
        <w:rPr>
          <w:rFonts w:ascii="Times New Roman" w:hAnsi="Times New Roman" w:cs="Times New Roman"/>
          <w:sz w:val="24"/>
          <w:szCs w:val="24"/>
        </w:rPr>
      </w:pPr>
      <w:r>
        <w:rPr>
          <w:rFonts w:ascii="Times New Roman" w:hAnsi="Times New Roman" w:cs="Times New Roman"/>
          <w:sz w:val="24"/>
          <w:szCs w:val="24"/>
        </w:rPr>
        <w:t xml:space="preserve">Крім того, </w:t>
      </w: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w:t>
      </w:r>
      <w:proofErr w:type="spellEnd"/>
      <w:r w:rsidR="00824F50">
        <w:rPr>
          <w:rFonts w:ascii="Times New Roman" w:hAnsi="Times New Roman" w:cs="Times New Roman"/>
          <w:sz w:val="24"/>
          <w:szCs w:val="24"/>
        </w:rPr>
        <w:t xml:space="preserve"> передбачає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та балансу інтересів суб’єктів господарювання, громадян та держави.  </w:t>
      </w:r>
    </w:p>
    <w:p w:rsidR="00824F50" w:rsidRDefault="00B65DAA" w:rsidP="00824F50">
      <w:pPr>
        <w:jc w:val="both"/>
        <w:rPr>
          <w:rFonts w:ascii="Times New Roman" w:hAnsi="Times New Roman" w:cs="Times New Roman"/>
          <w:sz w:val="24"/>
          <w:szCs w:val="24"/>
        </w:rPr>
      </w:pPr>
      <w:r>
        <w:rPr>
          <w:rFonts w:ascii="Times New Roman" w:hAnsi="Times New Roman" w:cs="Times New Roman"/>
          <w:sz w:val="24"/>
          <w:szCs w:val="24"/>
        </w:rPr>
        <w:t xml:space="preserve">В цілому, при підготовці </w:t>
      </w: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кту</w:t>
      </w:r>
      <w:proofErr w:type="spellEnd"/>
      <w:r w:rsidR="00824F50">
        <w:rPr>
          <w:rFonts w:ascii="Times New Roman" w:hAnsi="Times New Roman" w:cs="Times New Roman"/>
          <w:sz w:val="24"/>
          <w:szCs w:val="24"/>
        </w:rPr>
        <w:t xml:space="preserve"> регуляторного акта витримана послідовніс</w:t>
      </w:r>
      <w:r>
        <w:rPr>
          <w:rFonts w:ascii="Times New Roman" w:hAnsi="Times New Roman" w:cs="Times New Roman"/>
          <w:sz w:val="24"/>
          <w:szCs w:val="24"/>
        </w:rPr>
        <w:t xml:space="preserve">ть регуляторної діяльності: </w:t>
      </w: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w:t>
      </w:r>
      <w:proofErr w:type="spellEnd"/>
      <w:r w:rsidR="00824F50">
        <w:rPr>
          <w:rFonts w:ascii="Times New Roman" w:hAnsi="Times New Roman" w:cs="Times New Roman"/>
          <w:sz w:val="24"/>
          <w:szCs w:val="24"/>
        </w:rPr>
        <w:t xml:space="preserve"> відповідає цілям державної регуляторної політики, а також його включено до плану діяльності з підготовки про</w:t>
      </w:r>
      <w:r>
        <w:rPr>
          <w:rFonts w:ascii="Times New Roman" w:hAnsi="Times New Roman" w:cs="Times New Roman"/>
          <w:sz w:val="24"/>
          <w:szCs w:val="24"/>
        </w:rPr>
        <w:t>ектів регуляторних актів на 2019</w:t>
      </w:r>
      <w:r w:rsidR="00824F50">
        <w:rPr>
          <w:rFonts w:ascii="Times New Roman" w:hAnsi="Times New Roman" w:cs="Times New Roman"/>
          <w:sz w:val="24"/>
          <w:szCs w:val="24"/>
        </w:rPr>
        <w:t xml:space="preserve"> рік </w:t>
      </w:r>
      <w:r>
        <w:rPr>
          <w:rFonts w:ascii="Times New Roman" w:hAnsi="Times New Roman" w:cs="Times New Roman"/>
          <w:sz w:val="24"/>
          <w:szCs w:val="24"/>
        </w:rPr>
        <w:t>(рішення міської ради від 17.12.2019</w:t>
      </w:r>
      <w:r w:rsidR="00824F50">
        <w:rPr>
          <w:rFonts w:ascii="Times New Roman" w:hAnsi="Times New Roman" w:cs="Times New Roman"/>
          <w:sz w:val="24"/>
          <w:szCs w:val="24"/>
        </w:rPr>
        <w:t xml:space="preserve"> року «Про внесення змін до </w:t>
      </w:r>
      <w:r w:rsidR="00824F50" w:rsidRPr="00002EC5">
        <w:rPr>
          <w:rFonts w:ascii="Times New Roman" w:hAnsi="Times New Roman" w:cs="Times New Roman"/>
          <w:sz w:val="24"/>
          <w:szCs w:val="24"/>
        </w:rPr>
        <w:t xml:space="preserve">рішення </w:t>
      </w:r>
      <w:r w:rsidR="00FE2394">
        <w:rPr>
          <w:rFonts w:ascii="Times New Roman" w:hAnsi="Times New Roman" w:cs="Times New Roman"/>
          <w:sz w:val="24"/>
          <w:szCs w:val="24"/>
        </w:rPr>
        <w:t>виконкому №228 від 19.11</w:t>
      </w:r>
      <w:r w:rsidR="00824F50" w:rsidRPr="00002EC5">
        <w:rPr>
          <w:rFonts w:ascii="Times New Roman" w:hAnsi="Times New Roman" w:cs="Times New Roman"/>
          <w:sz w:val="24"/>
          <w:szCs w:val="24"/>
        </w:rPr>
        <w:t>.201</w:t>
      </w:r>
      <w:r w:rsidR="00FE2394">
        <w:rPr>
          <w:rFonts w:ascii="Times New Roman" w:hAnsi="Times New Roman" w:cs="Times New Roman"/>
          <w:sz w:val="24"/>
          <w:szCs w:val="24"/>
        </w:rPr>
        <w:t>9</w:t>
      </w:r>
      <w:r w:rsidR="00824F50">
        <w:rPr>
          <w:rFonts w:ascii="Times New Roman" w:hAnsi="Times New Roman" w:cs="Times New Roman"/>
          <w:sz w:val="24"/>
          <w:szCs w:val="24"/>
        </w:rPr>
        <w:t xml:space="preserve"> року «Про затвердження плану діяльності з підготовки про</w:t>
      </w:r>
      <w:r w:rsidR="00FE2394">
        <w:rPr>
          <w:rFonts w:ascii="Times New Roman" w:hAnsi="Times New Roman" w:cs="Times New Roman"/>
          <w:sz w:val="24"/>
          <w:szCs w:val="24"/>
        </w:rPr>
        <w:t>ектів регуляторних актів на 2020</w:t>
      </w:r>
      <w:r w:rsidR="00824F50">
        <w:rPr>
          <w:rFonts w:ascii="Times New Roman" w:hAnsi="Times New Roman" w:cs="Times New Roman"/>
          <w:sz w:val="24"/>
          <w:szCs w:val="24"/>
        </w:rPr>
        <w:t xml:space="preserve"> рік».</w:t>
      </w:r>
    </w:p>
    <w:p w:rsidR="003E5D58" w:rsidRPr="00B65DAA" w:rsidRDefault="00B65DAA" w:rsidP="003E5D58">
      <w:pPr>
        <w:shd w:val="clear" w:color="auto" w:fill="FFFFFF"/>
        <w:tabs>
          <w:tab w:val="left" w:pos="6470"/>
        </w:tabs>
        <w:suppressAutoHyphens w:val="0"/>
        <w:spacing w:after="0" w:line="240" w:lineRule="auto"/>
        <w:ind w:right="74"/>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Таким чином,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регуляторного акта – </w:t>
      </w: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w:t>
      </w:r>
      <w:proofErr w:type="spellEnd"/>
      <w:r w:rsidR="00824F50">
        <w:rPr>
          <w:rFonts w:ascii="Times New Roman" w:hAnsi="Times New Roman" w:cs="Times New Roman"/>
          <w:sz w:val="24"/>
          <w:szCs w:val="24"/>
        </w:rPr>
        <w:t xml:space="preserve"> рішення міс</w:t>
      </w:r>
      <w:r>
        <w:rPr>
          <w:rFonts w:ascii="Times New Roman" w:hAnsi="Times New Roman" w:cs="Times New Roman"/>
          <w:sz w:val="24"/>
          <w:szCs w:val="24"/>
        </w:rPr>
        <w:t>ької ради</w:t>
      </w:r>
      <w:r w:rsidR="003E5D58" w:rsidRPr="003E5D58">
        <w:rPr>
          <w:rFonts w:ascii="Times New Roman" w:eastAsia="Times New Roman" w:hAnsi="Times New Roman" w:cs="Times New Roman"/>
          <w:sz w:val="24"/>
          <w:szCs w:val="24"/>
          <w:lang w:eastAsia="ru-RU"/>
        </w:rPr>
        <w:t xml:space="preserve"> </w:t>
      </w:r>
      <w:r w:rsidR="003E5D58" w:rsidRPr="00B65DAA">
        <w:rPr>
          <w:rFonts w:ascii="Times New Roman" w:eastAsia="Times New Roman" w:hAnsi="Times New Roman" w:cs="Times New Roman"/>
          <w:sz w:val="24"/>
          <w:szCs w:val="24"/>
          <w:lang w:eastAsia="ru-RU"/>
        </w:rPr>
        <w:t xml:space="preserve">Про </w:t>
      </w:r>
    </w:p>
    <w:p w:rsidR="003E5D58" w:rsidRPr="00B65DAA" w:rsidRDefault="003E5D58" w:rsidP="003E5D58">
      <w:pPr>
        <w:shd w:val="clear" w:color="auto" w:fill="FFFFFF"/>
        <w:tabs>
          <w:tab w:val="left" w:pos="6470"/>
        </w:tabs>
        <w:suppressAutoHyphens w:val="0"/>
        <w:spacing w:after="0" w:line="240" w:lineRule="auto"/>
        <w:ind w:right="74"/>
        <w:jc w:val="center"/>
        <w:rPr>
          <w:rFonts w:ascii="Times New Roman" w:eastAsia="Times New Roman" w:hAnsi="Times New Roman" w:cs="Times New Roman"/>
          <w:sz w:val="24"/>
          <w:szCs w:val="24"/>
          <w:lang w:eastAsia="ru-RU"/>
        </w:rPr>
      </w:pPr>
      <w:r w:rsidRPr="00B65DAA">
        <w:rPr>
          <w:rFonts w:ascii="Times New Roman" w:eastAsia="Times New Roman" w:hAnsi="Times New Roman" w:cs="Times New Roman"/>
          <w:sz w:val="24"/>
          <w:szCs w:val="24"/>
          <w:lang w:eastAsia="ru-RU"/>
        </w:rPr>
        <w:t>затвердження Регламенту роботи відділу «Центр надання адміністративних послуг»</w:t>
      </w:r>
    </w:p>
    <w:p w:rsidR="00824F50" w:rsidRDefault="003E5D58" w:rsidP="003E5D58">
      <w:pPr>
        <w:tabs>
          <w:tab w:val="left" w:pos="5954"/>
        </w:tabs>
        <w:spacing w:after="0" w:line="100" w:lineRule="atLeast"/>
        <w:ind w:left="-142"/>
        <w:rPr>
          <w:rFonts w:ascii="Times New Roman" w:hAnsi="Times New Roman" w:cs="Times New Roman"/>
          <w:sz w:val="24"/>
          <w:szCs w:val="24"/>
        </w:rPr>
      </w:pPr>
      <w:r w:rsidRPr="00B65DAA">
        <w:rPr>
          <w:rFonts w:ascii="Times New Roman" w:eastAsia="Times New Roman" w:hAnsi="Times New Roman" w:cs="Times New Roman"/>
          <w:sz w:val="24"/>
          <w:szCs w:val="24"/>
          <w:lang w:eastAsia="ru-RU"/>
        </w:rPr>
        <w:lastRenderedPageBreak/>
        <w:t>виконавчого комітету Бобровицької міської ради</w:t>
      </w:r>
      <w:r w:rsidRPr="003E5D5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в новій редакції)</w:t>
      </w:r>
      <w:r w:rsidR="00002EC5" w:rsidRPr="00002EC5">
        <w:rPr>
          <w:rFonts w:ascii="Times New Roman" w:eastAsia="Times New Roman" w:hAnsi="Times New Roman" w:cs="Times New Roman"/>
          <w:sz w:val="24"/>
          <w:szCs w:val="24"/>
          <w:lang w:eastAsia="ru-RU"/>
        </w:rPr>
        <w:t xml:space="preserve"> </w:t>
      </w:r>
      <w:r w:rsidR="00824F50">
        <w:rPr>
          <w:rFonts w:ascii="Times New Roman" w:hAnsi="Times New Roman" w:cs="Times New Roman"/>
          <w:sz w:val="24"/>
          <w:szCs w:val="24"/>
        </w:rPr>
        <w:t>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824F50" w:rsidRDefault="00824F50" w:rsidP="00824F50">
      <w:pPr>
        <w:ind w:firstLine="709"/>
        <w:jc w:val="both"/>
        <w:rPr>
          <w:rFonts w:ascii="Times New Roman" w:hAnsi="Times New Roman" w:cs="Times New Roman"/>
          <w:sz w:val="24"/>
          <w:szCs w:val="24"/>
        </w:rPr>
      </w:pPr>
    </w:p>
    <w:p w:rsidR="00824F50" w:rsidRDefault="003E5D58" w:rsidP="00824F50">
      <w:pPr>
        <w:ind w:firstLine="709"/>
        <w:jc w:val="both"/>
        <w:rPr>
          <w:rFonts w:ascii="Times New Roman" w:hAnsi="Times New Roman" w:cs="Times New Roman"/>
          <w:sz w:val="24"/>
          <w:szCs w:val="24"/>
        </w:rPr>
      </w:pPr>
      <w:r>
        <w:rPr>
          <w:rFonts w:ascii="Times New Roman" w:hAnsi="Times New Roman" w:cs="Times New Roman"/>
          <w:b/>
          <w:sz w:val="24"/>
          <w:szCs w:val="24"/>
        </w:rPr>
        <w:t xml:space="preserve">2. Відповідність </w:t>
      </w:r>
      <w:proofErr w:type="spellStart"/>
      <w:r>
        <w:rPr>
          <w:rFonts w:ascii="Times New Roman" w:hAnsi="Times New Roman" w:cs="Times New Roman"/>
          <w:b/>
          <w:sz w:val="24"/>
          <w:szCs w:val="24"/>
        </w:rPr>
        <w:t>проє</w:t>
      </w:r>
      <w:r w:rsidR="00824F50">
        <w:rPr>
          <w:rFonts w:ascii="Times New Roman" w:hAnsi="Times New Roman" w:cs="Times New Roman"/>
          <w:b/>
          <w:sz w:val="24"/>
          <w:szCs w:val="24"/>
        </w:rPr>
        <w:t>кту</w:t>
      </w:r>
      <w:proofErr w:type="spellEnd"/>
      <w:r w:rsidR="00824F50">
        <w:rPr>
          <w:rFonts w:ascii="Times New Roman" w:hAnsi="Times New Roman" w:cs="Times New Roman"/>
          <w:b/>
          <w:sz w:val="24"/>
          <w:szCs w:val="24"/>
        </w:rPr>
        <w:t xml:space="preserve">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Відповідно до  частини десятої статті 12 Закону України</w:t>
      </w:r>
      <w:r w:rsidR="003E5D58">
        <w:rPr>
          <w:rFonts w:ascii="Times New Roman" w:hAnsi="Times New Roman" w:cs="Times New Roman"/>
          <w:sz w:val="24"/>
          <w:szCs w:val="24"/>
        </w:rPr>
        <w:t xml:space="preserve"> «Про адміністративні послуги» Р</w:t>
      </w:r>
      <w:r>
        <w:rPr>
          <w:rFonts w:ascii="Times New Roman" w:hAnsi="Times New Roman" w:cs="Times New Roman"/>
          <w:sz w:val="24"/>
          <w:szCs w:val="24"/>
        </w:rPr>
        <w:t>егламент центру надання адміністративних послуг затверджується органом, який прийняв рішення про утворення центру. Кабінет Міністрів України затверджує Примірний регламент центру надання адміністративних послуг.  Постановою Кабінету Міністрів України від 01 серпня 2013 року №558 «Про затвердження Примірного регламенту центру надання адміністративних послуг»</w:t>
      </w:r>
      <w:r w:rsidR="003E5D58">
        <w:rPr>
          <w:rFonts w:ascii="Times New Roman" w:hAnsi="Times New Roman" w:cs="Times New Roman"/>
          <w:sz w:val="24"/>
          <w:szCs w:val="24"/>
        </w:rPr>
        <w:t xml:space="preserve"> (зі змінами)</w:t>
      </w:r>
      <w:r>
        <w:rPr>
          <w:rFonts w:ascii="Times New Roman" w:hAnsi="Times New Roman" w:cs="Times New Roman"/>
          <w:sz w:val="24"/>
          <w:szCs w:val="24"/>
        </w:rPr>
        <w:t xml:space="preserve"> рекомендовано органам місцевого самоврядування у діяльності щодо забезпечення функціонування центрів надання адміністративних послуг керуватися Примірним регламентом, затвердженим нею.</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xml:space="preserve">На виконання Закону України «Про адміністративні послуги» у Центрі надання адміністративних послуг    (надалі – ЦНАП) створено зручні та доступні умови для отримання адміністративних послуг громадянами, суб’єктами господарювання. Це відповідає меті Концепції реформування місцевого самоврядування та територіальної організації влади в Україні, затвердженої Розпорядженням Кабінету Міністрів України від 01 квітня 2014 року №333-р.  </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 Розробником  регуляторного акта були враховані вимоги Законів України:  «Про дозвільну систему у сфері господарської діяльності», «Про Перелік документів дозвільного характеру» та Розпорядження Кабінету Міністрів України  від 16 травня 2014 року №523 «Деякі питання надання адміністративних послуг органів виконавчої влади через центри надання адміністративних послуг».</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Цей регуляторний акт певним чином впливає на інтереси  суб’єктів господарювання, громадян, органів місцевого самоврядування та виконавчої влади, а також підприємств, установ і організацій, що належать до сфери їх управління.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Визначена проблема не може бути розв’язана за допомогою ринкових механізмів і потребує вирішення шляхом затвердження міською радою Регламенту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у зв’язку з тим, що Законом України «Про адміністративні послуги»  передбачено  затвердження такого регламенту органом, який прийняв рішення про його утворення.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Визначена проблема не може бути розв’язана за допомогою діючих регуляторних актів або внесення змін до них, оскільки такі регуляторні акти міською радою не приймалися.</w:t>
      </w:r>
    </w:p>
    <w:p w:rsidR="00824F50" w:rsidRDefault="00824F50" w:rsidP="00824F50">
      <w:pPr>
        <w:tabs>
          <w:tab w:val="left" w:pos="3828"/>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Затвердження Регламенту відділу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визначає порядок організації його роботи, дій адміністраторів відділу,  дозвільно-погоджувальних процедур виконкому міської ради та їх взаємодії із суб'єктами надання адміністративних послуг.</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lastRenderedPageBreak/>
        <w:tab/>
        <w:t>Очікувані результати ухвалення запропонованого проекту рішення можуть бути  визначені  через такі вигоди та витрати:</w:t>
      </w:r>
    </w:p>
    <w:p w:rsidR="00824F50" w:rsidRDefault="00824F50" w:rsidP="00824F50">
      <w:pPr>
        <w:jc w:val="both"/>
        <w:rPr>
          <w:rFonts w:ascii="Times New Roman" w:hAnsi="Times New Roman" w:cs="Times New Roman"/>
          <w:sz w:val="24"/>
          <w:szCs w:val="24"/>
        </w:rPr>
      </w:pPr>
    </w:p>
    <w:p w:rsidR="00824F50" w:rsidRDefault="00824F50" w:rsidP="00824F50">
      <w:pPr>
        <w:jc w:val="both"/>
        <w:rPr>
          <w:rFonts w:ascii="Times New Roman" w:hAnsi="Times New Roman" w:cs="Times New Roman"/>
          <w:sz w:val="24"/>
          <w:szCs w:val="24"/>
        </w:rPr>
      </w:pPr>
    </w:p>
    <w:tbl>
      <w:tblPr>
        <w:tblW w:w="0" w:type="auto"/>
        <w:tblLayout w:type="fixed"/>
        <w:tblLook w:val="0000"/>
      </w:tblPr>
      <w:tblGrid>
        <w:gridCol w:w="3284"/>
        <w:gridCol w:w="3285"/>
        <w:gridCol w:w="3285"/>
      </w:tblGrid>
      <w:tr w:rsidR="00824F50" w:rsidTr="00A03583">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center"/>
              <w:rPr>
                <w:rFonts w:ascii="Times New Roman" w:hAnsi="Times New Roman" w:cs="Times New Roman"/>
                <w:b/>
                <w:i/>
                <w:sz w:val="24"/>
                <w:szCs w:val="24"/>
              </w:rPr>
            </w:pPr>
            <w:r>
              <w:rPr>
                <w:rFonts w:ascii="Times New Roman" w:hAnsi="Times New Roman" w:cs="Times New Roman"/>
                <w:b/>
                <w:i/>
                <w:sz w:val="24"/>
                <w:szCs w:val="24"/>
              </w:rPr>
              <w:t>Сфера впливу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center"/>
              <w:rPr>
                <w:rFonts w:ascii="Times New Roman" w:hAnsi="Times New Roman" w:cs="Times New Roman"/>
                <w:b/>
                <w:i/>
                <w:sz w:val="24"/>
                <w:szCs w:val="24"/>
              </w:rPr>
            </w:pPr>
            <w:r>
              <w:rPr>
                <w:rFonts w:ascii="Times New Roman" w:hAnsi="Times New Roman" w:cs="Times New Roman"/>
                <w:b/>
                <w:i/>
                <w:sz w:val="24"/>
                <w:szCs w:val="24"/>
              </w:rPr>
              <w:t>Вигоди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center"/>
            </w:pPr>
            <w:r>
              <w:rPr>
                <w:rFonts w:ascii="Times New Roman" w:hAnsi="Times New Roman" w:cs="Times New Roman"/>
                <w:b/>
                <w:i/>
                <w:sz w:val="24"/>
                <w:szCs w:val="24"/>
              </w:rPr>
              <w:t>Витрати</w:t>
            </w:r>
          </w:p>
        </w:tc>
      </w:tr>
      <w:tr w:rsidR="00824F50" w:rsidTr="00A03583">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rPr>
                <w:rFonts w:ascii="Times New Roman" w:hAnsi="Times New Roman" w:cs="Times New Roman"/>
                <w:sz w:val="24"/>
                <w:szCs w:val="24"/>
              </w:rPr>
            </w:pPr>
            <w:r>
              <w:rPr>
                <w:rFonts w:ascii="Times New Roman" w:hAnsi="Times New Roman" w:cs="Times New Roman"/>
                <w:sz w:val="24"/>
                <w:szCs w:val="24"/>
              </w:rPr>
              <w:t>Інтереси держави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Забезпечення законності, юридичної визначеності та прозорості в системі надання адміністративних послуг;</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запобігання корупційним явищам;</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налагодження прозорих партнерських відносин у співпраці органів місцевого самоврядування та споживачів послуг</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pPr>
            <w:r>
              <w:rPr>
                <w:rFonts w:ascii="Times New Roman" w:hAnsi="Times New Roman" w:cs="Times New Roman"/>
                <w:sz w:val="24"/>
                <w:szCs w:val="24"/>
              </w:rPr>
              <w:t xml:space="preserve">Відсутні, оскільки необхідність затвердження Регламенту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встановлена законами України та іншими нормативно-правовими актами, що регулюють суспільні відносини у відповідних сферах</w:t>
            </w:r>
          </w:p>
        </w:tc>
      </w:tr>
      <w:tr w:rsidR="00824F50" w:rsidTr="00A03583">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rPr>
                <w:rFonts w:ascii="Times New Roman" w:hAnsi="Times New Roman" w:cs="Times New Roman"/>
                <w:sz w:val="24"/>
                <w:szCs w:val="24"/>
              </w:rPr>
            </w:pPr>
            <w:r>
              <w:rPr>
                <w:rFonts w:ascii="Times New Roman" w:hAnsi="Times New Roman" w:cs="Times New Roman"/>
                <w:sz w:val="24"/>
                <w:szCs w:val="24"/>
              </w:rPr>
              <w:t>Інтереси суб’єктів господарювання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numPr>
                <w:ilvl w:val="0"/>
                <w:numId w:val="2"/>
              </w:numPr>
              <w:tabs>
                <w:tab w:val="left" w:pos="259"/>
              </w:tabs>
              <w:spacing w:after="0" w:line="100" w:lineRule="atLeast"/>
              <w:ind w:left="-24" w:firstLine="0"/>
              <w:jc w:val="both"/>
              <w:rPr>
                <w:rFonts w:ascii="Times New Roman" w:hAnsi="Times New Roman" w:cs="Times New Roman"/>
                <w:sz w:val="24"/>
                <w:szCs w:val="24"/>
              </w:rPr>
            </w:pPr>
            <w:r>
              <w:rPr>
                <w:rFonts w:ascii="Times New Roman" w:hAnsi="Times New Roman" w:cs="Times New Roman"/>
                <w:sz w:val="24"/>
                <w:szCs w:val="24"/>
              </w:rPr>
              <w:t xml:space="preserve">Відкриті та прозорі стандарти роботи з використанням технологій електронного урядування, які виключають корупційні загрози; </w:t>
            </w:r>
          </w:p>
          <w:p w:rsidR="00824F50" w:rsidRDefault="00824F50" w:rsidP="00A03583">
            <w:pPr>
              <w:numPr>
                <w:ilvl w:val="0"/>
                <w:numId w:val="2"/>
              </w:numPr>
              <w:tabs>
                <w:tab w:val="left" w:pos="259"/>
              </w:tabs>
              <w:spacing w:after="0" w:line="100" w:lineRule="atLeast"/>
              <w:ind w:left="0" w:right="-167" w:hanging="24"/>
              <w:rPr>
                <w:rFonts w:ascii="Times New Roman" w:hAnsi="Times New Roman" w:cs="Times New Roman"/>
                <w:sz w:val="24"/>
                <w:szCs w:val="24"/>
              </w:rPr>
            </w:pPr>
            <w:r>
              <w:rPr>
                <w:rFonts w:ascii="Times New Roman" w:hAnsi="Times New Roman" w:cs="Times New Roman"/>
                <w:sz w:val="24"/>
                <w:szCs w:val="24"/>
              </w:rPr>
              <w:t>комфортні й зручні умови для отримання послуг суб’єктами звернень,  у тому числі з особливими потребами;</w:t>
            </w:r>
          </w:p>
          <w:p w:rsidR="00824F50" w:rsidRDefault="00824F50" w:rsidP="00A03583">
            <w:pPr>
              <w:numPr>
                <w:ilvl w:val="0"/>
                <w:numId w:val="2"/>
              </w:numPr>
              <w:tabs>
                <w:tab w:val="left" w:pos="259"/>
              </w:tabs>
              <w:spacing w:after="0" w:line="100" w:lineRule="atLeast"/>
              <w:ind w:left="-24" w:firstLine="0"/>
              <w:jc w:val="both"/>
              <w:rPr>
                <w:rFonts w:ascii="Times New Roman" w:hAnsi="Times New Roman" w:cs="Times New Roman"/>
                <w:sz w:val="24"/>
                <w:szCs w:val="24"/>
              </w:rPr>
            </w:pPr>
            <w:r>
              <w:rPr>
                <w:rFonts w:ascii="Times New Roman" w:hAnsi="Times New Roman" w:cs="Times New Roman"/>
                <w:sz w:val="24"/>
                <w:szCs w:val="24"/>
              </w:rPr>
              <w:t xml:space="preserve">нові можливості для своєчасного отримання послуг, забезпечення захисту інформації суб’єктів звернень до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від унесення будь-яких змін та інших форм втручання;</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попередження випадків надання суб’єктам господарювання  послуг, не передбачених чинним законодавством України та не внесених до переліку адміністративних послуг</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rPr>
                <w:rFonts w:ascii="Times New Roman" w:hAnsi="Times New Roman" w:cs="Times New Roman"/>
                <w:sz w:val="24"/>
                <w:szCs w:val="24"/>
              </w:rPr>
            </w:pPr>
            <w:r>
              <w:rPr>
                <w:rFonts w:ascii="Times New Roman" w:hAnsi="Times New Roman" w:cs="Times New Roman"/>
                <w:sz w:val="24"/>
                <w:szCs w:val="24"/>
              </w:rPr>
              <w:t>Додаткові витрати відсутні</w:t>
            </w:r>
          </w:p>
          <w:p w:rsidR="00824F50" w:rsidRDefault="00824F50" w:rsidP="00A03583">
            <w:pPr>
              <w:spacing w:before="40" w:after="40"/>
              <w:ind w:left="93"/>
              <w:rPr>
                <w:rFonts w:ascii="Times New Roman" w:hAnsi="Times New Roman" w:cs="Times New Roman"/>
                <w:sz w:val="24"/>
                <w:szCs w:val="24"/>
              </w:rPr>
            </w:pPr>
          </w:p>
          <w:p w:rsidR="00824F50" w:rsidRDefault="00824F50" w:rsidP="00A03583">
            <w:pPr>
              <w:spacing w:before="40" w:after="40"/>
              <w:ind w:left="93"/>
              <w:rPr>
                <w:rFonts w:ascii="Times New Roman" w:hAnsi="Times New Roman" w:cs="Times New Roman"/>
                <w:sz w:val="24"/>
                <w:szCs w:val="24"/>
              </w:rPr>
            </w:pPr>
          </w:p>
        </w:tc>
      </w:tr>
      <w:tr w:rsidR="00824F50" w:rsidTr="00A03583">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rPr>
                <w:rFonts w:ascii="Times New Roman" w:hAnsi="Times New Roman" w:cs="Times New Roman"/>
                <w:sz w:val="24"/>
                <w:szCs w:val="24"/>
              </w:rPr>
            </w:pPr>
            <w:r>
              <w:rPr>
                <w:rFonts w:ascii="Times New Roman" w:hAnsi="Times New Roman" w:cs="Times New Roman"/>
                <w:sz w:val="24"/>
                <w:szCs w:val="24"/>
              </w:rPr>
              <w:t>Інтереси громадян</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Доступність та зручність в отриманні </w:t>
            </w:r>
            <w:proofErr w:type="spellStart"/>
            <w:r>
              <w:rPr>
                <w:rFonts w:ascii="Times New Roman" w:hAnsi="Times New Roman" w:cs="Times New Roman"/>
                <w:sz w:val="24"/>
                <w:szCs w:val="24"/>
              </w:rPr>
              <w:t>адмі-ністративних</w:t>
            </w:r>
            <w:proofErr w:type="spellEnd"/>
            <w:r>
              <w:rPr>
                <w:rFonts w:ascii="Times New Roman" w:hAnsi="Times New Roman" w:cs="Times New Roman"/>
                <w:sz w:val="24"/>
                <w:szCs w:val="24"/>
              </w:rPr>
              <w:t xml:space="preserve"> послуг (зручні місце розташування  й режим роботи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протидія корупційним загрозам;</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отримання адміністративних послуг в одному приміщенні;</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підвищення якості послуг;</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доступ до  інформації про порядок отримання адміністративних послуг;</w:t>
            </w:r>
          </w:p>
          <w:p w:rsidR="00824F50" w:rsidRDefault="00824F50" w:rsidP="00A03583">
            <w:pPr>
              <w:numPr>
                <w:ilvl w:val="0"/>
                <w:numId w:val="1"/>
              </w:numPr>
              <w:tabs>
                <w:tab w:val="left" w:pos="259"/>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отримання в приміщеннях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консультацій щодо порядку надання адміністративних послуг та допомоги в оформленні документів, необхідних для їх отримання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4F50" w:rsidRDefault="00824F50" w:rsidP="00A03583">
            <w:pPr>
              <w:jc w:val="both"/>
              <w:rPr>
                <w:rFonts w:ascii="Times New Roman" w:hAnsi="Times New Roman" w:cs="Times New Roman"/>
                <w:sz w:val="24"/>
                <w:szCs w:val="24"/>
              </w:rPr>
            </w:pPr>
            <w:r>
              <w:rPr>
                <w:rFonts w:ascii="Times New Roman" w:hAnsi="Times New Roman" w:cs="Times New Roman"/>
                <w:sz w:val="24"/>
                <w:szCs w:val="24"/>
              </w:rPr>
              <w:lastRenderedPageBreak/>
              <w:t>Додаткові витрати відсутні</w:t>
            </w:r>
          </w:p>
          <w:p w:rsidR="00824F50" w:rsidRDefault="00824F50" w:rsidP="00A03583">
            <w:pPr>
              <w:jc w:val="both"/>
              <w:rPr>
                <w:rFonts w:ascii="Times New Roman" w:hAnsi="Times New Roman" w:cs="Times New Roman"/>
                <w:sz w:val="24"/>
                <w:szCs w:val="24"/>
              </w:rPr>
            </w:pPr>
          </w:p>
          <w:p w:rsidR="00824F50" w:rsidRDefault="00824F50" w:rsidP="00A03583">
            <w:pPr>
              <w:jc w:val="both"/>
              <w:rPr>
                <w:rFonts w:ascii="Times New Roman" w:hAnsi="Times New Roman" w:cs="Times New Roman"/>
                <w:sz w:val="24"/>
                <w:szCs w:val="24"/>
              </w:rPr>
            </w:pPr>
          </w:p>
          <w:p w:rsidR="00824F50" w:rsidRDefault="00824F50" w:rsidP="00A03583">
            <w:pPr>
              <w:jc w:val="both"/>
              <w:rPr>
                <w:rFonts w:ascii="Times New Roman" w:hAnsi="Times New Roman" w:cs="Times New Roman"/>
                <w:sz w:val="24"/>
                <w:szCs w:val="24"/>
              </w:rPr>
            </w:pPr>
          </w:p>
          <w:p w:rsidR="00824F50" w:rsidRDefault="00824F50" w:rsidP="00A03583">
            <w:pPr>
              <w:tabs>
                <w:tab w:val="left" w:pos="259"/>
              </w:tabs>
              <w:jc w:val="both"/>
              <w:rPr>
                <w:rFonts w:ascii="Times New Roman" w:hAnsi="Times New Roman" w:cs="Times New Roman"/>
                <w:sz w:val="24"/>
                <w:szCs w:val="24"/>
              </w:rPr>
            </w:pPr>
          </w:p>
          <w:p w:rsidR="00824F50" w:rsidRDefault="00824F50" w:rsidP="00A03583">
            <w:pPr>
              <w:tabs>
                <w:tab w:val="left" w:pos="259"/>
              </w:tabs>
              <w:jc w:val="both"/>
              <w:rPr>
                <w:rFonts w:ascii="Times New Roman" w:hAnsi="Times New Roman" w:cs="Times New Roman"/>
                <w:sz w:val="24"/>
                <w:szCs w:val="24"/>
              </w:rPr>
            </w:pPr>
          </w:p>
        </w:tc>
      </w:tr>
    </w:tbl>
    <w:p w:rsidR="00824F50" w:rsidRDefault="00824F50" w:rsidP="00824F50">
      <w:pPr>
        <w:jc w:val="both"/>
        <w:rPr>
          <w:rFonts w:ascii="Times New Roman" w:hAnsi="Times New Roman" w:cs="Times New Roman"/>
          <w:sz w:val="24"/>
          <w:szCs w:val="24"/>
        </w:rPr>
      </w:pP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Наведені дані свідчать про відсутність додаткових витрат при запровадженні зазначеного регуляторного акта, а вигоди, що виникають унаслідок його упровадження, свідчать про позитивний соціальний ефект та доцільність упровадження.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Проект рішення  міської ради розроблено з метою  покращення організації роботи відділу «Центру надання адміністративних послуг», удосконалення порядку дій адміністраторів Центру та їх взаємодії із суб’єктами надання адміністративних послуг.</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Крім того, до основних цілей прийняття зазначеного регуляторного акта також віднесено такі:</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мінімізація корупційної складової при наданні адміністративних послуг;</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покращення   результативності та комфортності отримання послуг споживачами;</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забезпечення прозорості виконання через ЦНАП процедур для суб’єктів господарювання, громадян;</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xml:space="preserve">- забезпечення належних умов для професійної роботи фахівців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покращення технологій виконання процедур, мінімізація витрат трудових, матеріальних, часових ресурсів.</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Під час розробки проекту рішення   ураховано такі альтернативні способи: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1. Неприйняття запропонованого регуляторного акта.</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Відмова від уведення в дію вказаного регуляторного акта призведе до порушень норм Закону України «Про адміністративні послуги», Постанови Кабінету Міністрів України від 01 серпня 2013 року №558 «Про затвердження Примірного регламенту центру надання адміністративних послуг»</w:t>
      </w:r>
      <w:r w:rsidR="005062ED">
        <w:rPr>
          <w:rFonts w:ascii="Times New Roman" w:hAnsi="Times New Roman" w:cs="Times New Roman"/>
          <w:sz w:val="24"/>
          <w:szCs w:val="24"/>
        </w:rPr>
        <w:t xml:space="preserve"> ( зі змінами)</w:t>
      </w:r>
      <w:r>
        <w:rPr>
          <w:rFonts w:ascii="Times New Roman" w:hAnsi="Times New Roman" w:cs="Times New Roman"/>
          <w:sz w:val="24"/>
          <w:szCs w:val="24"/>
        </w:rPr>
        <w:t>, створить незручності для громадян, суб’єктів звернень – замовників послуг.</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Таким чином, така альтернатива є недоцільною.</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2. Здійснення регулювання суб’єктами надання послуг, іншими органами місцевого самоврядування.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Вирішення питання таким шляхом не є можливим у зв’язку з тим, що</w:t>
      </w:r>
      <w:r w:rsidR="005062ED">
        <w:rPr>
          <w:rFonts w:ascii="Times New Roman" w:hAnsi="Times New Roman" w:cs="Times New Roman"/>
          <w:sz w:val="24"/>
          <w:szCs w:val="24"/>
        </w:rPr>
        <w:t xml:space="preserve"> повноваження із  затвердження Р</w:t>
      </w:r>
      <w:r>
        <w:rPr>
          <w:rFonts w:ascii="Times New Roman" w:hAnsi="Times New Roman" w:cs="Times New Roman"/>
          <w:sz w:val="24"/>
          <w:szCs w:val="24"/>
        </w:rPr>
        <w:t xml:space="preserve">егламенту центру  надання адміністративних послуг покладені Законом </w:t>
      </w:r>
      <w:r>
        <w:rPr>
          <w:rFonts w:ascii="Times New Roman" w:hAnsi="Times New Roman" w:cs="Times New Roman"/>
          <w:sz w:val="24"/>
          <w:szCs w:val="24"/>
        </w:rPr>
        <w:lastRenderedPageBreak/>
        <w:t xml:space="preserve">України «Про адміністративні послуги» на орган, який ухвалив рішення про  утворення відповідного Центру.  </w:t>
      </w:r>
    </w:p>
    <w:p w:rsidR="00824F50" w:rsidRDefault="005062ED" w:rsidP="00824F50">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Проє</w:t>
      </w:r>
      <w:r w:rsidR="00824F50">
        <w:rPr>
          <w:rFonts w:ascii="Times New Roman" w:hAnsi="Times New Roman" w:cs="Times New Roman"/>
          <w:sz w:val="24"/>
          <w:szCs w:val="24"/>
        </w:rPr>
        <w:t>кт</w:t>
      </w:r>
      <w:proofErr w:type="spellEnd"/>
      <w:r w:rsidR="00824F50">
        <w:rPr>
          <w:rFonts w:ascii="Times New Roman" w:hAnsi="Times New Roman" w:cs="Times New Roman"/>
          <w:sz w:val="24"/>
          <w:szCs w:val="24"/>
        </w:rPr>
        <w:t xml:space="preserve"> даного регуляторного акта повністю відповідає повноваженням міської ради, передбачених Законом України «Про місцеве самоврядування в Україні»  та принципам державної регуляторної політики щодо доцільності, ефективності, прозорості, передбачуваності, збалансованості інтересів з урахуванням громадської думки. Запропонований спосіб вирішення зазначеної проблеми є єдиним з огляду на можливість його виконання та ефективну його реалізацію.</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Затвердження цього регуляторного акта забезпечить досягнення визначених цілей та приведе у відповідність до вимог чинного законодавства  України питання стосовно:</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  регламентування діяльності відділу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   порядку  організації роботи відділу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дій адміністраторів  та їх взаємодії із суб'єктами надання адміністративних послуг.</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Механізм дії  регуляторного акта полягає в забезпеченні реалізації заходів з реформування системи надання адміністративних послуг та покращення їх якості.</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Ступінь ефективності регуляторного акта є високою, оскільки при  затвердженні Регламенту відділу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забезпечується  чіткість і урегульованість процесу надання адміністративних послуг, механізм взаємодії   між працівників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суб’єктами надання послуг та органами місцевого самоврядування,суб’єктів звернень.</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Регуляторний акт містить норми,  спрямовані на приведення його змісту у відповідність до вимог чинного законодавства  України.</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Для впровадження регуляторного акта необхідно забезпечити: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 інформування громадськості про його зміст та вимоги шляхом оприлюднення повідомлення в засобах масової інформації, а саме через районну газету «Наше життя» та розміщення рішення, аналізу регуляторного впливу до нього та експертного висновку на офіційному  </w:t>
      </w:r>
      <w:proofErr w:type="spellStart"/>
      <w:r>
        <w:rPr>
          <w:rFonts w:ascii="Times New Roman" w:hAnsi="Times New Roman" w:cs="Times New Roman"/>
          <w:sz w:val="24"/>
          <w:szCs w:val="24"/>
        </w:rPr>
        <w:t>веб-сайті</w:t>
      </w:r>
      <w:proofErr w:type="spellEnd"/>
      <w:r>
        <w:rPr>
          <w:rFonts w:ascii="Times New Roman" w:hAnsi="Times New Roman" w:cs="Times New Roman"/>
          <w:sz w:val="24"/>
          <w:szCs w:val="24"/>
        </w:rPr>
        <w:t xml:space="preserve">  Бобровицької  міської ради;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проведення відстежень результативності його дії та внесення, у разі необхідності, змін і доповнень.</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Досягнення визначених цілей можливе завдяки ухваленню запропонованого регуляторного акта, який містить  Регламент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За результатами відстеження результативності дії регуляторного акта, якщо такі впливатимуть на неї, до нього будуть уноситися відповідні коригування.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Упровадження та виконання вимог регуляторного акта  не потребують додаткових витрат коштів з місцевого бюджету та бюджетів усіх рівнів.</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Додаткових витрат суб’єктів надання адміністративних послуг та громадян також не очікується.</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Таким чином, поставлені цілі досягаються при виконанні вимог  регуляторного акта без витрат для суб’єктів господарювання, громадян і держави.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Упровадження та виконання вимог регуляторного акта не залежить від ресурсів органів місцевого самоврядування, суб’єктів надання  адміністративних послуг, окрім заходів, необхідних для здійснення владних повноважень, наданих відповідно до вимог нормативно-правових актів України.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Існують ризики впливу зовнішніх чинників на дію регуляторного акта, а саме: зміни до чинних нормативно-правових актів, що регулюють суспільні відносини у сфері надання адміністративних послуг.</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При унесенні змін до чинного законодавства України та за результатами відстеження результативності дії запропонованого регуляторного акта, якщо такі впливатимуть на неї, до нього будуть уноситися відповідні коригування.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Термін дії запропонованого регуляторного акта не встановлюється. Він запроваджується до моменту настання факторів, які можуть суттєво вплинути на  зміст акта або на його цілі. </w:t>
      </w:r>
    </w:p>
    <w:p w:rsidR="00824F50" w:rsidRDefault="00824F50" w:rsidP="00824F50">
      <w:pPr>
        <w:tabs>
          <w:tab w:val="left" w:pos="709"/>
        </w:tabs>
        <w:jc w:val="both"/>
        <w:rPr>
          <w:rFonts w:ascii="Times New Roman" w:hAnsi="Times New Roman" w:cs="Times New Roman"/>
          <w:sz w:val="24"/>
          <w:szCs w:val="24"/>
        </w:rPr>
      </w:pPr>
      <w:r>
        <w:rPr>
          <w:rFonts w:ascii="Times New Roman" w:hAnsi="Times New Roman" w:cs="Times New Roman"/>
          <w:sz w:val="24"/>
          <w:szCs w:val="24"/>
        </w:rPr>
        <w:tab/>
        <w:t>Головними показниками результативності дії запропонованого регуляторного акта є такі якісні показники:</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побудова ефективної системи надання адміністративних послуг органами місцевого самоврядування;</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уникнення корупційних загроз;</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забезпечення захисту прав споживачів-замовників послуг;</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скорочення витрат часу замовників послуг.</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Крім того, показниками результативності дії запропонованого регуляторного акта є кількісні показники:</w:t>
      </w:r>
    </w:p>
    <w:p w:rsidR="00824F50" w:rsidRDefault="00824F50" w:rsidP="00824F50">
      <w:pPr>
        <w:tabs>
          <w:tab w:val="left" w:pos="709"/>
          <w:tab w:val="left" w:pos="851"/>
          <w:tab w:val="left" w:pos="993"/>
          <w:tab w:val="left" w:pos="1701"/>
        </w:tabs>
        <w:jc w:val="both"/>
        <w:rPr>
          <w:rFonts w:ascii="Times New Roman" w:hAnsi="Times New Roman" w:cs="Times New Roman"/>
          <w:sz w:val="24"/>
          <w:szCs w:val="24"/>
        </w:rPr>
      </w:pPr>
      <w:r>
        <w:rPr>
          <w:rFonts w:ascii="Times New Roman" w:hAnsi="Times New Roman" w:cs="Times New Roman"/>
          <w:sz w:val="24"/>
          <w:szCs w:val="24"/>
        </w:rPr>
        <w:tab/>
        <w:t>- звернень одержувачів адміністративних послуг – суб’єктів господарювання, громадян;</w:t>
      </w:r>
    </w:p>
    <w:p w:rsidR="00824F50" w:rsidRDefault="00824F50" w:rsidP="00824F50">
      <w:pPr>
        <w:jc w:val="both"/>
        <w:rPr>
          <w:rFonts w:ascii="Times New Roman" w:hAnsi="Times New Roman" w:cs="Times New Roman"/>
          <w:sz w:val="24"/>
          <w:szCs w:val="24"/>
        </w:rPr>
      </w:pPr>
      <w:r>
        <w:rPr>
          <w:rFonts w:ascii="Times New Roman" w:hAnsi="Times New Roman" w:cs="Times New Roman"/>
          <w:sz w:val="24"/>
          <w:szCs w:val="24"/>
        </w:rPr>
        <w:tab/>
        <w:t>- наданих адміністративних послуг.</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Результативність дії регуляторного акта буде відстежуватися відділом економічного розвитку та інвестиційної діяльності   міської ради.</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Базове відстеження результативності дії рішення буде здійснено через шість місяців після набуття ним чинності. Повторне – планується провести через рік, за результатами дії якого можна буде зробити порівняльний аналіз. </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Періодичні відстеження – раз на кожні наступні три роки, починаючи з дня закінчення заходів щодо повторного відстеження результативності дії рішення.</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У разі виявлення неврегульованих  проблемних питань, вони будуть усунені шляхом унесення  відповідних змін до регуляторного акта.</w:t>
      </w:r>
    </w:p>
    <w:p w:rsidR="00824F50" w:rsidRDefault="00824F50" w:rsidP="00824F50">
      <w:pPr>
        <w:ind w:firstLine="708"/>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проведення відстеження розробником підготується звіт про результативність його дії який буде </w:t>
      </w:r>
      <w:proofErr w:type="spellStart"/>
      <w:r>
        <w:rPr>
          <w:rFonts w:ascii="Times New Roman" w:hAnsi="Times New Roman" w:cs="Times New Roman"/>
          <w:sz w:val="24"/>
          <w:szCs w:val="24"/>
        </w:rPr>
        <w:t>оприлюднено</w:t>
      </w:r>
      <w:proofErr w:type="spellEnd"/>
      <w:r>
        <w:rPr>
          <w:rFonts w:ascii="Times New Roman" w:hAnsi="Times New Roman" w:cs="Times New Roman"/>
          <w:sz w:val="24"/>
          <w:szCs w:val="24"/>
        </w:rPr>
        <w:t xml:space="preserve"> на офіційному </w:t>
      </w:r>
      <w:proofErr w:type="spellStart"/>
      <w:r>
        <w:rPr>
          <w:rFonts w:ascii="Times New Roman" w:hAnsi="Times New Roman" w:cs="Times New Roman"/>
          <w:sz w:val="24"/>
          <w:szCs w:val="24"/>
        </w:rPr>
        <w:t>веб-сайті</w:t>
      </w:r>
      <w:proofErr w:type="spellEnd"/>
      <w:r>
        <w:rPr>
          <w:rFonts w:ascii="Times New Roman" w:hAnsi="Times New Roman" w:cs="Times New Roman"/>
          <w:sz w:val="24"/>
          <w:szCs w:val="24"/>
        </w:rPr>
        <w:t xml:space="preserve"> .</w:t>
      </w:r>
    </w:p>
    <w:p w:rsidR="00824F50" w:rsidRDefault="00824F50" w:rsidP="00824F50">
      <w:pPr>
        <w:ind w:firstLine="708"/>
        <w:jc w:val="both"/>
        <w:rPr>
          <w:rFonts w:ascii="Times New Roman" w:hAnsi="Times New Roman" w:cs="Times New Roman"/>
          <w:b/>
          <w:sz w:val="24"/>
          <w:szCs w:val="24"/>
        </w:rPr>
      </w:pPr>
      <w:r>
        <w:rPr>
          <w:rFonts w:ascii="Times New Roman" w:hAnsi="Times New Roman" w:cs="Times New Roman"/>
          <w:sz w:val="24"/>
          <w:szCs w:val="24"/>
        </w:rPr>
        <w:lastRenderedPageBreak/>
        <w:t>Аналіз регуляторного акта розроблено на виконання вимог статті 8 Закону України «Про засади державної регуляторної політики у сфері господарської діяльності».</w:t>
      </w:r>
    </w:p>
    <w:p w:rsidR="00824F50" w:rsidRDefault="00824F50" w:rsidP="00824F50">
      <w:pPr>
        <w:ind w:firstLine="709"/>
        <w:jc w:val="both"/>
        <w:rPr>
          <w:rFonts w:ascii="Times New Roman" w:hAnsi="Times New Roman" w:cs="Times New Roman"/>
          <w:b/>
          <w:sz w:val="24"/>
          <w:szCs w:val="24"/>
        </w:rPr>
      </w:pPr>
    </w:p>
    <w:p w:rsidR="00824F50" w:rsidRDefault="00824F50" w:rsidP="00824F50">
      <w:pPr>
        <w:ind w:firstLine="709"/>
        <w:jc w:val="both"/>
        <w:rPr>
          <w:rFonts w:ascii="Times New Roman" w:hAnsi="Times New Roman" w:cs="Times New Roman"/>
          <w:b/>
          <w:sz w:val="24"/>
          <w:szCs w:val="24"/>
        </w:rPr>
      </w:pPr>
    </w:p>
    <w:p w:rsidR="00824F50" w:rsidRDefault="00824F50" w:rsidP="00824F50">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3. Узагальнений висновок </w:t>
      </w:r>
    </w:p>
    <w:p w:rsidR="00824F50" w:rsidRDefault="00824F50" w:rsidP="00824F50">
      <w:pPr>
        <w:tabs>
          <w:tab w:val="left" w:pos="5954"/>
          <w:tab w:val="left" w:pos="9639"/>
        </w:tabs>
        <w:spacing w:after="0" w:line="100" w:lineRule="atLeast"/>
        <w:ind w:left="-142"/>
        <w:rPr>
          <w:rFonts w:ascii="Times New Roman" w:hAnsi="Times New Roman" w:cs="Times New Roman"/>
          <w:sz w:val="24"/>
          <w:szCs w:val="24"/>
        </w:rPr>
      </w:pPr>
      <w:r>
        <w:rPr>
          <w:rFonts w:ascii="Times New Roman" w:hAnsi="Times New Roman" w:cs="Times New Roman"/>
          <w:b/>
          <w:sz w:val="24"/>
          <w:szCs w:val="24"/>
        </w:rPr>
        <w:t xml:space="preserve">          </w:t>
      </w:r>
      <w:r w:rsidR="005062ED">
        <w:rPr>
          <w:rFonts w:ascii="Times New Roman" w:hAnsi="Times New Roman" w:cs="Times New Roman"/>
          <w:sz w:val="24"/>
          <w:szCs w:val="24"/>
        </w:rPr>
        <w:t xml:space="preserve">Проаналізувавши </w:t>
      </w:r>
      <w:proofErr w:type="spellStart"/>
      <w:r w:rsidR="005062ED">
        <w:rPr>
          <w:rFonts w:ascii="Times New Roman" w:hAnsi="Times New Roman" w:cs="Times New Roman"/>
          <w:sz w:val="24"/>
          <w:szCs w:val="24"/>
        </w:rPr>
        <w:t>проє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регуляторного акта, постійна комі</w:t>
      </w:r>
      <w:r w:rsidR="005062ED">
        <w:rPr>
          <w:rFonts w:ascii="Times New Roman" w:hAnsi="Times New Roman" w:cs="Times New Roman"/>
          <w:sz w:val="24"/>
          <w:szCs w:val="24"/>
        </w:rPr>
        <w:t>сія міської ради вважає, що проє</w:t>
      </w:r>
      <w:r>
        <w:rPr>
          <w:rFonts w:ascii="Times New Roman" w:hAnsi="Times New Roman" w:cs="Times New Roman"/>
          <w:sz w:val="24"/>
          <w:szCs w:val="24"/>
        </w:rPr>
        <w:t>кт регуляторного акта – проект рішення міської ради Про погодження  проекту Регламенту відділу «Центр надання адміністративних послуг»  ,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824F50" w:rsidRDefault="00824F50" w:rsidP="00824F50">
      <w:pPr>
        <w:jc w:val="both"/>
        <w:rPr>
          <w:rFonts w:ascii="Times New Roman" w:hAnsi="Times New Roman" w:cs="Times New Roman"/>
          <w:sz w:val="24"/>
          <w:szCs w:val="24"/>
        </w:rPr>
      </w:pPr>
    </w:p>
    <w:p w:rsidR="00824F50" w:rsidRDefault="00824F50" w:rsidP="00824F50">
      <w:pPr>
        <w:jc w:val="both"/>
        <w:rPr>
          <w:rFonts w:ascii="Times New Roman" w:hAnsi="Times New Roman" w:cs="Times New Roman"/>
          <w:sz w:val="24"/>
          <w:szCs w:val="24"/>
        </w:rPr>
      </w:pPr>
    </w:p>
    <w:p w:rsidR="00824F50" w:rsidRDefault="00824F50" w:rsidP="00824F50">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Голова постійної комісії  міської ради з</w:t>
      </w:r>
    </w:p>
    <w:p w:rsidR="00824F50" w:rsidRDefault="00824F50" w:rsidP="00824F50">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питань фінансів, бюджету та </w:t>
      </w:r>
    </w:p>
    <w:p w:rsidR="00824F50" w:rsidRDefault="00824F50" w:rsidP="00824F50">
      <w:pPr>
        <w:spacing w:after="0" w:line="100" w:lineRule="atLeast"/>
        <w:jc w:val="both"/>
      </w:pPr>
      <w:r>
        <w:rPr>
          <w:rFonts w:ascii="Times New Roman" w:hAnsi="Times New Roman" w:cs="Times New Roman"/>
          <w:sz w:val="24"/>
          <w:szCs w:val="24"/>
        </w:rPr>
        <w:t xml:space="preserve">соціально-економічного розвитку </w:t>
      </w:r>
      <w:r>
        <w:rPr>
          <w:rFonts w:ascii="Times New Roman" w:hAnsi="Times New Roman" w:cs="Times New Roman"/>
          <w:i/>
          <w:sz w:val="24"/>
          <w:szCs w:val="24"/>
        </w:rPr>
        <w:t xml:space="preserve">                                                     </w:t>
      </w:r>
      <w:r>
        <w:rPr>
          <w:rFonts w:ascii="Times New Roman" w:hAnsi="Times New Roman" w:cs="Times New Roman"/>
          <w:sz w:val="24"/>
          <w:szCs w:val="24"/>
        </w:rPr>
        <w:t>Даценко В.В.</w:t>
      </w:r>
      <w:r>
        <w:rPr>
          <w:rFonts w:ascii="Times New Roman" w:hAnsi="Times New Roman" w:cs="Times New Roman"/>
          <w:i/>
          <w:sz w:val="24"/>
          <w:szCs w:val="24"/>
        </w:rPr>
        <w:t xml:space="preserve"> </w:t>
      </w:r>
    </w:p>
    <w:p w:rsidR="00824F50" w:rsidRDefault="00824F50" w:rsidP="00824F50"/>
    <w:p w:rsidR="00824F50" w:rsidRDefault="00824F50" w:rsidP="00824F50">
      <w:pPr>
        <w:spacing w:after="0" w:line="100" w:lineRule="atLeast"/>
        <w:rPr>
          <w:rFonts w:ascii="Times New Roman" w:hAnsi="Times New Roman"/>
          <w:color w:val="000000"/>
          <w:sz w:val="28"/>
          <w:szCs w:val="28"/>
        </w:rPr>
      </w:pPr>
    </w:p>
    <w:p w:rsidR="00824F50" w:rsidRDefault="00824F50" w:rsidP="00824F50">
      <w:pPr>
        <w:spacing w:after="0" w:line="100" w:lineRule="atLeast"/>
        <w:jc w:val="both"/>
      </w:pPr>
    </w:p>
    <w:p w:rsidR="0057047E" w:rsidRDefault="0057047E"/>
    <w:sectPr w:rsidR="0057047E" w:rsidSect="00492BD1">
      <w:pgSz w:w="11906" w:h="16838"/>
      <w:pgMar w:top="850" w:right="850" w:bottom="850"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F50"/>
    <w:rsid w:val="00002EC5"/>
    <w:rsid w:val="003E5D58"/>
    <w:rsid w:val="003F6B44"/>
    <w:rsid w:val="00492BD1"/>
    <w:rsid w:val="005062ED"/>
    <w:rsid w:val="0057047E"/>
    <w:rsid w:val="007C6253"/>
    <w:rsid w:val="00824F50"/>
    <w:rsid w:val="00B65DAA"/>
    <w:rsid w:val="00C42C5F"/>
    <w:rsid w:val="00FE2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50"/>
    <w:pPr>
      <w:suppressAutoHyphens/>
    </w:pPr>
    <w:rPr>
      <w:rFonts w:ascii="Calibri" w:eastAsia="SimSun" w:hAnsi="Calibri" w:cs="font289"/>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51323">
      <w:bodyDiv w:val="1"/>
      <w:marLeft w:val="0"/>
      <w:marRight w:val="0"/>
      <w:marTop w:val="0"/>
      <w:marBottom w:val="0"/>
      <w:divBdr>
        <w:top w:val="none" w:sz="0" w:space="0" w:color="auto"/>
        <w:left w:val="none" w:sz="0" w:space="0" w:color="auto"/>
        <w:bottom w:val="none" w:sz="0" w:space="0" w:color="auto"/>
        <w:right w:val="none" w:sz="0" w:space="0" w:color="auto"/>
      </w:divBdr>
    </w:div>
    <w:div w:id="18208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 Basan</dc:creator>
  <cp:lastModifiedBy>larisa</cp:lastModifiedBy>
  <cp:revision>5</cp:revision>
  <dcterms:created xsi:type="dcterms:W3CDTF">2019-03-31T20:45:00Z</dcterms:created>
  <dcterms:modified xsi:type="dcterms:W3CDTF">2019-12-10T14:53:00Z</dcterms:modified>
</cp:coreProperties>
</file>